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9" w:type="dxa"/>
        <w:tblInd w:w="-844" w:type="dxa"/>
        <w:tblLook w:val="04A0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2A4446" w:rsidRDefault="00655D92" w:rsidP="000F4AB4">
            <w:pPr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Councillor G Collett</w:t>
            </w:r>
          </w:p>
        </w:tc>
        <w:tc>
          <w:tcPr>
            <w:tcW w:w="1864" w:type="dxa"/>
          </w:tcPr>
          <w:p w:rsidR="00F74CFE" w:rsidRPr="00EC1343" w:rsidRDefault="00F74CFE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2A4446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2A4446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2A4446" w:rsidRDefault="00655D92">
            <w:pPr>
              <w:jc w:val="center"/>
              <w:rPr>
                <w:sz w:val="20"/>
                <w:szCs w:val="20"/>
              </w:rPr>
            </w:pPr>
            <w:r w:rsidRPr="002A4446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B Gaffey</w:t>
            </w:r>
          </w:p>
        </w:tc>
        <w:tc>
          <w:tcPr>
            <w:tcW w:w="1864" w:type="dxa"/>
          </w:tcPr>
          <w:p w:rsidR="00F74CFE" w:rsidRPr="00EC1343" w:rsidRDefault="00655D92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65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B Grew</w:t>
            </w:r>
          </w:p>
        </w:tc>
        <w:tc>
          <w:tcPr>
            <w:tcW w:w="1864" w:type="dxa"/>
          </w:tcPr>
          <w:p w:rsidR="00F74CFE" w:rsidRPr="00EC1343" w:rsidRDefault="00655D92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E7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655D92" w:rsidP="000F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C Heycocks</w:t>
            </w:r>
          </w:p>
        </w:tc>
        <w:tc>
          <w:tcPr>
            <w:tcW w:w="1864" w:type="dxa"/>
          </w:tcPr>
          <w:p w:rsidR="00F74CFE" w:rsidRPr="00EC1343" w:rsidRDefault="00655D92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E77E67" w:rsidP="002A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H Bateman</w:t>
            </w:r>
          </w:p>
        </w:tc>
        <w:tc>
          <w:tcPr>
            <w:tcW w:w="1864" w:type="dxa"/>
          </w:tcPr>
          <w:p w:rsidR="00F74CFE" w:rsidRPr="00EC13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Dodd</w:t>
            </w:r>
          </w:p>
        </w:tc>
        <w:tc>
          <w:tcPr>
            <w:tcW w:w="1864" w:type="dxa"/>
          </w:tcPr>
          <w:p w:rsidR="00F74CFE" w:rsidRPr="00EC1343" w:rsidRDefault="00655D92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B Lloyd</w:t>
            </w:r>
          </w:p>
        </w:tc>
        <w:tc>
          <w:tcPr>
            <w:tcW w:w="1864" w:type="dxa"/>
          </w:tcPr>
          <w:p w:rsidR="00F74CFE" w:rsidRPr="00EC1343" w:rsidRDefault="00655D92" w:rsidP="002157C9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EC1343" w:rsidP="00EC1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£55</w:t>
            </w: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77E67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£155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G Matthias</w:t>
            </w:r>
          </w:p>
        </w:tc>
        <w:tc>
          <w:tcPr>
            <w:tcW w:w="1864" w:type="dxa"/>
          </w:tcPr>
          <w:p w:rsidR="00F74CFE" w:rsidRPr="00EC1343" w:rsidRDefault="00655D92" w:rsidP="002157C9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K Hodgkinson</w:t>
            </w:r>
          </w:p>
        </w:tc>
        <w:tc>
          <w:tcPr>
            <w:tcW w:w="1864" w:type="dxa"/>
          </w:tcPr>
          <w:p w:rsidR="00F74CFE" w:rsidRPr="00EC1343" w:rsidRDefault="00655D92" w:rsidP="002157C9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655D92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655D92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A Mearns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EC1343" w:rsidP="00EC1343">
            <w:pPr>
              <w:tabs>
                <w:tab w:val="left" w:pos="480"/>
                <w:tab w:val="center" w:pos="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£44.75</w:t>
            </w: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C134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£44.75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G Williams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RPr="00754D5F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C Bithell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Brookes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A Parry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EC134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</w:t>
            </w: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77E67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R Guest</w:t>
            </w:r>
          </w:p>
        </w:tc>
        <w:tc>
          <w:tcPr>
            <w:tcW w:w="1864" w:type="dxa"/>
          </w:tcPr>
          <w:p w:rsidR="00F74CFE" w:rsidRPr="00EC13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2A4446" w:rsidP="002157C9">
            <w:pPr>
              <w:jc w:val="center"/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2A4446" w:rsidP="000F4AB4">
            <w:pPr>
              <w:rPr>
                <w:sz w:val="20"/>
                <w:szCs w:val="20"/>
              </w:rPr>
            </w:pPr>
            <w:r w:rsidRPr="00BC5743">
              <w:rPr>
                <w:sz w:val="20"/>
                <w:szCs w:val="20"/>
              </w:rPr>
              <w:t>Councillor P Thomas</w:t>
            </w:r>
          </w:p>
        </w:tc>
        <w:tc>
          <w:tcPr>
            <w:tcW w:w="1864" w:type="dxa"/>
          </w:tcPr>
          <w:p w:rsidR="00F74CFE" w:rsidRPr="00EC1343" w:rsidRDefault="00C053A8" w:rsidP="002157C9">
            <w:pPr>
              <w:jc w:val="center"/>
              <w:rPr>
                <w:sz w:val="20"/>
                <w:szCs w:val="20"/>
              </w:rPr>
            </w:pPr>
            <w:r w:rsidRPr="00EC1343"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E77E67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BC5743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BC5743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BC5743" w:rsidP="00EC13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E77E67">
              <w:rPr>
                <w:b/>
                <w:u w:val="single"/>
              </w:rPr>
              <w:t>1109.75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0E" w:rsidRDefault="002A610E" w:rsidP="00147558">
      <w:r>
        <w:separator/>
      </w:r>
    </w:p>
  </w:endnote>
  <w:endnote w:type="continuationSeparator" w:id="0">
    <w:p w:rsidR="002A610E" w:rsidRDefault="002A610E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0E" w:rsidRDefault="002A610E" w:rsidP="00147558">
      <w:r>
        <w:separator/>
      </w:r>
    </w:p>
  </w:footnote>
  <w:footnote w:type="continuationSeparator" w:id="0">
    <w:p w:rsidR="002A610E" w:rsidRDefault="002A610E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A4446" w:rsidRPr="002A4446">
      <w:rPr>
        <w:b/>
        <w:u w:val="single"/>
      </w:rPr>
      <w:t>Mold</w:t>
    </w:r>
    <w:r w:rsidRPr="00147558">
      <w:rPr>
        <w:b/>
        <w:u w:val="single"/>
      </w:rPr>
      <w:t xml:space="preserve"> Town Council for 201</w:t>
    </w:r>
    <w:r w:rsidR="00C053A8">
      <w:rPr>
        <w:b/>
        <w:u w:val="single"/>
      </w:rPr>
      <w:t>6</w:t>
    </w:r>
    <w:r w:rsidRPr="00147558">
      <w:rPr>
        <w:b/>
        <w:u w:val="single"/>
      </w:rPr>
      <w:t>/1</w:t>
    </w:r>
    <w:r w:rsidR="00C053A8">
      <w:rPr>
        <w:b/>
        <w:u w:val="single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769DF"/>
    <w:rsid w:val="000A79B8"/>
    <w:rsid w:val="000B3BD4"/>
    <w:rsid w:val="000F4AB4"/>
    <w:rsid w:val="00147558"/>
    <w:rsid w:val="00150D95"/>
    <w:rsid w:val="001943AE"/>
    <w:rsid w:val="001A1E6C"/>
    <w:rsid w:val="001E034E"/>
    <w:rsid w:val="00281CAB"/>
    <w:rsid w:val="002A4446"/>
    <w:rsid w:val="002A610E"/>
    <w:rsid w:val="00327D04"/>
    <w:rsid w:val="003857A3"/>
    <w:rsid w:val="004005BD"/>
    <w:rsid w:val="004766E9"/>
    <w:rsid w:val="00491388"/>
    <w:rsid w:val="005A50A9"/>
    <w:rsid w:val="00614F1C"/>
    <w:rsid w:val="006530A0"/>
    <w:rsid w:val="00655D92"/>
    <w:rsid w:val="006F6070"/>
    <w:rsid w:val="007509FB"/>
    <w:rsid w:val="00754D5F"/>
    <w:rsid w:val="007D1985"/>
    <w:rsid w:val="008B5AF8"/>
    <w:rsid w:val="008C28FD"/>
    <w:rsid w:val="0091329A"/>
    <w:rsid w:val="009460D2"/>
    <w:rsid w:val="009D56F0"/>
    <w:rsid w:val="009F30B2"/>
    <w:rsid w:val="00A010DE"/>
    <w:rsid w:val="00A12E69"/>
    <w:rsid w:val="00A360BA"/>
    <w:rsid w:val="00A67FEE"/>
    <w:rsid w:val="00A732EA"/>
    <w:rsid w:val="00B725E4"/>
    <w:rsid w:val="00BC5743"/>
    <w:rsid w:val="00C046A8"/>
    <w:rsid w:val="00C053A8"/>
    <w:rsid w:val="00C9694D"/>
    <w:rsid w:val="00D5770E"/>
    <w:rsid w:val="00D57B6F"/>
    <w:rsid w:val="00DF5B4D"/>
    <w:rsid w:val="00E4461D"/>
    <w:rsid w:val="00E77E67"/>
    <w:rsid w:val="00EC1343"/>
    <w:rsid w:val="00F266CB"/>
    <w:rsid w:val="00F74CFE"/>
    <w:rsid w:val="00F7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2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Town Clerk</cp:lastModifiedBy>
  <cp:revision>2</cp:revision>
  <dcterms:created xsi:type="dcterms:W3CDTF">2017-04-27T10:48:00Z</dcterms:created>
  <dcterms:modified xsi:type="dcterms:W3CDTF">2017-04-27T10:48:00Z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